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C54" w:rsidRDefault="00CA6EC2">
      <w:bookmarkStart w:id="0" w:name="_GoBack"/>
      <w:r>
        <w:rPr>
          <w:rFonts w:eastAsia="Times New Roman"/>
          <w:noProof/>
        </w:rPr>
        <w:drawing>
          <wp:inline distT="0" distB="0" distL="0" distR="0">
            <wp:extent cx="5715000" cy="1743075"/>
            <wp:effectExtent l="0" t="0" r="0" b="9525"/>
            <wp:docPr id="3" name="Picture 3" descr="https://d3dkdvqff0zqx.cloudfront.net/groups/psba/images/legislative_re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d3dkdvqff0zqx.cloudfront.net/groups/psba/images/legislative_report.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1743075"/>
                    </a:xfrm>
                    <a:prstGeom prst="rect">
                      <a:avLst/>
                    </a:prstGeom>
                    <a:noFill/>
                    <a:ln>
                      <a:noFill/>
                    </a:ln>
                  </pic:spPr>
                </pic:pic>
              </a:graphicData>
            </a:graphic>
          </wp:inline>
        </w:drawing>
      </w:r>
      <w:bookmarkEnd w:id="0"/>
    </w:p>
    <w:p w:rsidR="00CA6EC2" w:rsidRDefault="00CA6EC2"/>
    <w:tbl>
      <w:tblPr>
        <w:tblpPr w:leftFromText="180" w:rightFromText="180" w:horzAnchor="margin" w:tblpY="2565"/>
        <w:tblW w:w="9000" w:type="dxa"/>
        <w:tblCellSpacing w:w="0" w:type="dxa"/>
        <w:tblBorders>
          <w:top w:val="single" w:sz="6" w:space="0" w:color="EEEEEE"/>
          <w:left w:val="single" w:sz="6" w:space="0" w:color="EEEEEE"/>
          <w:bottom w:val="single" w:sz="6" w:space="0" w:color="EEEEEE"/>
          <w:right w:val="single" w:sz="6" w:space="0" w:color="EEEEEE"/>
        </w:tblBorders>
        <w:tblCellMar>
          <w:left w:w="0" w:type="dxa"/>
          <w:right w:w="0" w:type="dxa"/>
        </w:tblCellMar>
        <w:tblLook w:val="04A0" w:firstRow="1" w:lastRow="0" w:firstColumn="1" w:lastColumn="0" w:noHBand="0" w:noVBand="1"/>
      </w:tblPr>
      <w:tblGrid>
        <w:gridCol w:w="9000"/>
      </w:tblGrid>
      <w:tr w:rsidR="00CA6EC2" w:rsidTr="00D461DD">
        <w:trPr>
          <w:tblCellSpacing w:w="0" w:type="dxa"/>
        </w:trPr>
        <w:tc>
          <w:tcPr>
            <w:tcW w:w="0" w:type="auto"/>
            <w:tcBorders>
              <w:top w:val="nil"/>
              <w:left w:val="nil"/>
              <w:bottom w:val="nil"/>
              <w:right w:val="nil"/>
            </w:tcBorders>
            <w:shd w:val="clear" w:color="auto" w:fill="FFFFFF"/>
            <w:hideMark/>
          </w:tcPr>
          <w:p w:rsidR="00CA6EC2" w:rsidRDefault="00CA6EC2" w:rsidP="00D461DD">
            <w:pPr>
              <w:rPr>
                <w:rFonts w:eastAsia="Times New Roman"/>
                <w:sz w:val="20"/>
                <w:szCs w:val="20"/>
              </w:rPr>
            </w:pPr>
          </w:p>
        </w:tc>
      </w:tr>
    </w:tbl>
    <w:tbl>
      <w:tblPr>
        <w:tblW w:w="4808" w:type="pct"/>
        <w:tblCellSpacing w:w="0" w:type="dxa"/>
        <w:tblCellMar>
          <w:top w:w="150" w:type="dxa"/>
          <w:left w:w="150" w:type="dxa"/>
          <w:bottom w:w="150" w:type="dxa"/>
          <w:right w:w="150" w:type="dxa"/>
        </w:tblCellMar>
        <w:tblLook w:val="04A0" w:firstRow="1" w:lastRow="0" w:firstColumn="1" w:lastColumn="0" w:noHBand="0" w:noVBand="1"/>
      </w:tblPr>
      <w:tblGrid>
        <w:gridCol w:w="9001"/>
      </w:tblGrid>
      <w:tr w:rsidR="00CA6EC2" w:rsidTr="00CA6EC2">
        <w:trPr>
          <w:trHeight w:val="7572"/>
          <w:tblCellSpacing w:w="0" w:type="dxa"/>
        </w:trPr>
        <w:tc>
          <w:tcPr>
            <w:tcW w:w="0" w:type="auto"/>
          </w:tcPr>
          <w:tbl>
            <w:tblPr>
              <w:tblW w:w="5000" w:type="pct"/>
              <w:tblCellSpacing w:w="0" w:type="dxa"/>
              <w:tblCellMar>
                <w:left w:w="0" w:type="dxa"/>
                <w:right w:w="0" w:type="dxa"/>
              </w:tblCellMar>
              <w:tblLook w:val="04A0" w:firstRow="1" w:lastRow="0" w:firstColumn="1" w:lastColumn="0" w:noHBand="0" w:noVBand="1"/>
            </w:tblPr>
            <w:tblGrid>
              <w:gridCol w:w="8701"/>
            </w:tblGrid>
            <w:tr w:rsidR="00CA6EC2" w:rsidTr="00D461DD">
              <w:trPr>
                <w:tblCellSpacing w:w="0" w:type="dxa"/>
              </w:trPr>
              <w:tc>
                <w:tcPr>
                  <w:tcW w:w="0" w:type="auto"/>
                  <w:vAlign w:val="center"/>
                  <w:hideMark/>
                </w:tcPr>
                <w:p w:rsidR="00CA6EC2" w:rsidRDefault="00CA6EC2" w:rsidP="00CA6EC2">
                  <w:pPr>
                    <w:rPr>
                      <w:rFonts w:eastAsia="Times New Roman"/>
                      <w:sz w:val="20"/>
                      <w:szCs w:val="20"/>
                    </w:rPr>
                  </w:pPr>
                  <w:r>
                    <w:rPr>
                      <w:rFonts w:eastAsia="Times New Roman"/>
                      <w:sz w:val="20"/>
                      <w:szCs w:val="20"/>
                    </w:rPr>
                    <w:br/>
                  </w:r>
                  <w:r>
                    <w:rPr>
                      <w:rStyle w:val="Emphasis"/>
                      <w:rFonts w:ascii="Verdana" w:eastAsia="Times New Roman" w:hAnsi="Verdana"/>
                      <w:sz w:val="21"/>
                      <w:szCs w:val="21"/>
                    </w:rPr>
                    <w:t>The Senate and House of Representatives were in session this week and will be in session next week.</w:t>
                  </w:r>
                  <w:r>
                    <w:rPr>
                      <w:rFonts w:eastAsia="Times New Roman"/>
                      <w:sz w:val="20"/>
                      <w:szCs w:val="20"/>
                    </w:rPr>
                    <w:t xml:space="preserve"> </w:t>
                  </w:r>
                </w:p>
              </w:tc>
            </w:tr>
            <w:tr w:rsidR="00CA6EC2" w:rsidTr="00D461DD">
              <w:trPr>
                <w:trHeight w:val="75"/>
                <w:tblCellSpacing w:w="0" w:type="dxa"/>
              </w:trPr>
              <w:tc>
                <w:tcPr>
                  <w:tcW w:w="0" w:type="auto"/>
                  <w:vAlign w:val="center"/>
                  <w:hideMark/>
                </w:tcPr>
                <w:p w:rsidR="00CA6EC2" w:rsidRDefault="00CA6EC2" w:rsidP="00CA6EC2">
                  <w:pPr>
                    <w:rPr>
                      <w:rFonts w:eastAsia="Times New Roman"/>
                      <w:sz w:val="20"/>
                      <w:szCs w:val="20"/>
                    </w:rPr>
                  </w:pPr>
                </w:p>
              </w:tc>
            </w:tr>
          </w:tbl>
          <w:p w:rsidR="00CA6EC2" w:rsidRDefault="00CA6EC2" w:rsidP="00CA6EC2">
            <w:pPr>
              <w:rPr>
                <w:rFonts w:ascii="Verdana" w:eastAsia="Times New Roman" w:hAnsi="Verdana"/>
                <w:vanish/>
                <w:color w:val="000000"/>
                <w:sz w:val="20"/>
                <w:szCs w:val="20"/>
              </w:rPr>
            </w:pPr>
          </w:p>
          <w:tbl>
            <w:tblPr>
              <w:tblW w:w="5000" w:type="pct"/>
              <w:tblCellSpacing w:w="0" w:type="dxa"/>
              <w:tblCellMar>
                <w:left w:w="0" w:type="dxa"/>
                <w:right w:w="0" w:type="dxa"/>
              </w:tblCellMar>
              <w:tblLook w:val="04A0" w:firstRow="1" w:lastRow="0" w:firstColumn="1" w:lastColumn="0" w:noHBand="0" w:noVBand="1"/>
            </w:tblPr>
            <w:tblGrid>
              <w:gridCol w:w="8701"/>
            </w:tblGrid>
            <w:tr w:rsidR="00CA6EC2" w:rsidTr="00D461DD">
              <w:trPr>
                <w:tblCellSpacing w:w="0" w:type="dxa"/>
              </w:trPr>
              <w:tc>
                <w:tcPr>
                  <w:tcW w:w="0" w:type="auto"/>
                  <w:vAlign w:val="center"/>
                  <w:hideMark/>
                </w:tcPr>
                <w:p w:rsidR="00CA6EC2" w:rsidRDefault="00CA6EC2" w:rsidP="00CA6EC2">
                  <w:pPr>
                    <w:rPr>
                      <w:rFonts w:eastAsia="Times New Roman"/>
                      <w:sz w:val="20"/>
                      <w:szCs w:val="20"/>
                    </w:rPr>
                  </w:pPr>
                  <w:r>
                    <w:rPr>
                      <w:rFonts w:eastAsia="Times New Roman"/>
                      <w:sz w:val="20"/>
                      <w:szCs w:val="20"/>
                    </w:rPr>
                    <w:br/>
                  </w:r>
                  <w:proofErr w:type="gramStart"/>
                  <w:r>
                    <w:rPr>
                      <w:rStyle w:val="Strong"/>
                      <w:rFonts w:ascii="Verdana" w:eastAsia="Times New Roman" w:hAnsi="Verdana"/>
                      <w:sz w:val="21"/>
                      <w:szCs w:val="21"/>
                    </w:rPr>
                    <w:t>General Assembly moves variety of PSBA-supported bills</w:t>
                  </w:r>
                  <w:r>
                    <w:rPr>
                      <w:rFonts w:ascii="Verdana" w:eastAsia="Times New Roman" w:hAnsi="Verdana"/>
                      <w:sz w:val="21"/>
                      <w:szCs w:val="21"/>
                    </w:rPr>
                    <w:br/>
                    <w:t> </w:t>
                  </w:r>
                  <w:r>
                    <w:rPr>
                      <w:rFonts w:ascii="Verdana" w:eastAsia="Times New Roman" w:hAnsi="Verdana"/>
                      <w:sz w:val="21"/>
                      <w:szCs w:val="21"/>
                    </w:rPr>
                    <w:br/>
                    <w:t>T</w:t>
                  </w:r>
                  <w:r>
                    <w:rPr>
                      <w:noProof/>
                    </w:rPr>
                    <w:drawing>
                      <wp:anchor distT="28575" distB="28575" distL="57150" distR="57150" simplePos="0" relativeHeight="251659264" behindDoc="0" locked="0" layoutInCell="1" allowOverlap="0" wp14:anchorId="2463C9D2" wp14:editId="2342388F">
                        <wp:simplePos x="0" y="0"/>
                        <wp:positionH relativeFrom="column">
                          <wp:align>left</wp:align>
                        </wp:positionH>
                        <wp:positionV relativeFrom="line">
                          <wp:posOffset>0</wp:posOffset>
                        </wp:positionV>
                        <wp:extent cx="1381125" cy="971550"/>
                        <wp:effectExtent l="0" t="0" r="9525" b="0"/>
                        <wp:wrapSquare wrapText="bothSides"/>
                        <wp:docPr id="2" name="Picture 2" descr="https://d3dkdvqff0zqx.cloudfront.net/groups/psba/images/captiol%20blue%20s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3dkdvqff0zqx.cloudfront.net/groups/psba/images/captiol%20blue%20sky.jp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381125" cy="971550"/>
                                </a:xfrm>
                                <a:prstGeom prst="rect">
                                  <a:avLst/>
                                </a:prstGeom>
                                <a:noFill/>
                              </pic:spPr>
                            </pic:pic>
                          </a:graphicData>
                        </a:graphic>
                        <wp14:sizeRelH relativeFrom="page">
                          <wp14:pctWidth>0</wp14:pctWidth>
                        </wp14:sizeRelH>
                        <wp14:sizeRelV relativeFrom="page">
                          <wp14:pctHeight>0</wp14:pctHeight>
                        </wp14:sizeRelV>
                      </wp:anchor>
                    </w:drawing>
                  </w:r>
                  <w:r>
                    <w:rPr>
                      <w:rFonts w:ascii="Verdana" w:eastAsia="Times New Roman" w:hAnsi="Verdana"/>
                      <w:sz w:val="21"/>
                      <w:szCs w:val="21"/>
                    </w:rPr>
                    <w:t>his week PSBA was successful in supporting action on a variety of bills that have been actively lobbied by the association</w:t>
                  </w:r>
                  <w:proofErr w:type="gramEnd"/>
                  <w:r>
                    <w:rPr>
                      <w:rFonts w:ascii="Verdana" w:eastAsia="Times New Roman" w:hAnsi="Verdana"/>
                      <w:sz w:val="21"/>
                      <w:szCs w:val="21"/>
                    </w:rPr>
                    <w:t>. Our advocacy work stretched over a variety of issues relevant to our members' interests.</w:t>
                  </w:r>
                  <w:r>
                    <w:rPr>
                      <w:rFonts w:ascii="Verdana" w:eastAsia="Times New Roman" w:hAnsi="Verdana"/>
                      <w:sz w:val="21"/>
                      <w:szCs w:val="21"/>
                    </w:rPr>
                    <w:br/>
                  </w:r>
                  <w:proofErr w:type="gramStart"/>
                  <w:r>
                    <w:rPr>
                      <w:rFonts w:ascii="Verdana" w:eastAsia="Times New Roman" w:hAnsi="Verdana"/>
                      <w:sz w:val="21"/>
                      <w:szCs w:val="21"/>
                    </w:rPr>
                    <w:t xml:space="preserve">Legislation sought by PSBA includes:  </w:t>
                  </w:r>
                  <w:r>
                    <w:rPr>
                      <w:rFonts w:eastAsia="Times New Roman"/>
                      <w:sz w:val="20"/>
                      <w:szCs w:val="20"/>
                    </w:rPr>
                    <w:br/>
                  </w:r>
                  <w:r>
                    <w:rPr>
                      <w:rFonts w:eastAsia="Times New Roman"/>
                      <w:sz w:val="20"/>
                      <w:szCs w:val="20"/>
                    </w:rPr>
                    <w:br/>
                  </w:r>
                  <w:r>
                    <w:rPr>
                      <w:rStyle w:val="Strong"/>
                      <w:rFonts w:ascii="Verdana" w:eastAsia="Times New Roman" w:hAnsi="Verdana"/>
                      <w:i/>
                      <w:iCs/>
                      <w:sz w:val="21"/>
                      <w:szCs w:val="21"/>
                    </w:rPr>
                    <w:t xml:space="preserve">Public employee pension forfeiture </w:t>
                  </w:r>
                  <w:r>
                    <w:rPr>
                      <w:rStyle w:val="Emphasis"/>
                      <w:rFonts w:ascii="Verdana" w:eastAsia="Times New Roman" w:hAnsi="Verdana"/>
                      <w:sz w:val="21"/>
                      <w:szCs w:val="21"/>
                    </w:rPr>
                    <w:t>-</w:t>
                  </w:r>
                  <w:r>
                    <w:rPr>
                      <w:rFonts w:ascii="Verdana" w:eastAsia="Times New Roman" w:hAnsi="Verdana"/>
                      <w:sz w:val="21"/>
                      <w:szCs w:val="21"/>
                    </w:rPr>
                    <w:t xml:space="preserve"> Passed by the Senate and House of Representatives and now headed to Gov. Wolf is </w:t>
                  </w:r>
                  <w:hyperlink r:id="rId7" w:history="1">
                    <w:r>
                      <w:rPr>
                        <w:rStyle w:val="Hyperlink"/>
                        <w:rFonts w:ascii="Verdana" w:eastAsia="Times New Roman" w:hAnsi="Verdana"/>
                        <w:b/>
                        <w:bCs/>
                        <w:sz w:val="21"/>
                        <w:szCs w:val="21"/>
                      </w:rPr>
                      <w:t>Senate Bill 113</w:t>
                    </w:r>
                  </w:hyperlink>
                  <w:r>
                    <w:rPr>
                      <w:rFonts w:ascii="Verdana" w:eastAsia="Times New Roman" w:hAnsi="Verdana"/>
                      <w:sz w:val="21"/>
                      <w:szCs w:val="21"/>
                    </w:rPr>
                    <w:t xml:space="preserve"> (Sen. </w:t>
                  </w:r>
                  <w:proofErr w:type="spellStart"/>
                  <w:r>
                    <w:rPr>
                      <w:rFonts w:ascii="Verdana" w:eastAsia="Times New Roman" w:hAnsi="Verdana"/>
                      <w:sz w:val="21"/>
                      <w:szCs w:val="21"/>
                    </w:rPr>
                    <w:t>DiSanto</w:t>
                  </w:r>
                  <w:proofErr w:type="spellEnd"/>
                  <w:r>
                    <w:rPr>
                      <w:rFonts w:ascii="Verdana" w:eastAsia="Times New Roman" w:hAnsi="Verdana"/>
                      <w:sz w:val="21"/>
                      <w:szCs w:val="21"/>
                    </w:rPr>
                    <w:t>, R-Dauphin), which amends the Public Employee Pension Forfeiture Act to tighten the rules for forfeiture of pension benefits for public officials or public employees who plead guilty, no contest or are convicted of any job-related felony offense.</w:t>
                  </w:r>
                  <w:proofErr w:type="gramEnd"/>
                  <w:r>
                    <w:rPr>
                      <w:rFonts w:ascii="Verdana" w:eastAsia="Times New Roman" w:hAnsi="Verdana"/>
                      <w:sz w:val="21"/>
                      <w:szCs w:val="21"/>
                    </w:rPr>
                    <w:t xml:space="preserve"> The governor </w:t>
                  </w:r>
                  <w:proofErr w:type="gramStart"/>
                  <w:r>
                    <w:rPr>
                      <w:rFonts w:ascii="Verdana" w:eastAsia="Times New Roman" w:hAnsi="Verdana"/>
                      <w:sz w:val="21"/>
                      <w:szCs w:val="21"/>
                    </w:rPr>
                    <w:t>is expected</w:t>
                  </w:r>
                  <w:proofErr w:type="gramEnd"/>
                  <w:r>
                    <w:rPr>
                      <w:rFonts w:ascii="Verdana" w:eastAsia="Times New Roman" w:hAnsi="Verdana"/>
                      <w:sz w:val="21"/>
                      <w:szCs w:val="21"/>
                    </w:rPr>
                    <w:t xml:space="preserve"> to sign the bill.</w:t>
                  </w:r>
                  <w:r>
                    <w:rPr>
                      <w:rFonts w:eastAsia="Times New Roman"/>
                      <w:sz w:val="20"/>
                      <w:szCs w:val="20"/>
                    </w:rPr>
                    <w:br/>
                  </w:r>
                  <w:r>
                    <w:rPr>
                      <w:rFonts w:eastAsia="Times New Roman"/>
                      <w:sz w:val="20"/>
                      <w:szCs w:val="20"/>
                    </w:rPr>
                    <w:br/>
                  </w:r>
                  <w:r w:rsidRPr="00CA6EC2">
                    <w:rPr>
                      <w:rStyle w:val="Strong"/>
                      <w:rFonts w:ascii="Verdana" w:eastAsia="Times New Roman" w:hAnsi="Verdana"/>
                      <w:i/>
                      <w:iCs/>
                      <w:sz w:val="21"/>
                      <w:szCs w:val="21"/>
                      <w:highlight w:val="yellow"/>
                    </w:rPr>
                    <w:t xml:space="preserve">Tax credits for CTE programs </w:t>
                  </w:r>
                  <w:r w:rsidRPr="00CA6EC2">
                    <w:rPr>
                      <w:rStyle w:val="Emphasis"/>
                      <w:rFonts w:ascii="Verdana" w:eastAsia="Times New Roman" w:hAnsi="Verdana"/>
                      <w:sz w:val="21"/>
                      <w:szCs w:val="21"/>
                      <w:highlight w:val="yellow"/>
                    </w:rPr>
                    <w:t xml:space="preserve">- </w:t>
                  </w:r>
                  <w:r w:rsidRPr="00CA6EC2">
                    <w:rPr>
                      <w:rFonts w:ascii="Verdana" w:eastAsia="Times New Roman" w:hAnsi="Verdana"/>
                      <w:sz w:val="21"/>
                      <w:szCs w:val="21"/>
                      <w:highlight w:val="yellow"/>
                    </w:rPr>
                    <w:t xml:space="preserve">The House passed </w:t>
                  </w:r>
                  <w:hyperlink r:id="rId8" w:history="1">
                    <w:r w:rsidRPr="00CA6EC2">
                      <w:rPr>
                        <w:rStyle w:val="Hyperlink"/>
                        <w:rFonts w:ascii="Verdana" w:eastAsia="Times New Roman" w:hAnsi="Verdana"/>
                        <w:b/>
                        <w:bCs/>
                        <w:color w:val="auto"/>
                        <w:sz w:val="21"/>
                        <w:szCs w:val="21"/>
                        <w:highlight w:val="yellow"/>
                      </w:rPr>
                      <w:t>House Bill 522</w:t>
                    </w:r>
                  </w:hyperlink>
                  <w:r w:rsidRPr="00CA6EC2">
                    <w:rPr>
                      <w:rFonts w:ascii="Verdana" w:eastAsia="Times New Roman" w:hAnsi="Verdana"/>
                      <w:sz w:val="21"/>
                      <w:szCs w:val="21"/>
                      <w:highlight w:val="yellow"/>
                    </w:rPr>
                    <w:t xml:space="preserve"> (Rep. </w:t>
                  </w:r>
                  <w:proofErr w:type="spellStart"/>
                  <w:r w:rsidRPr="00CA6EC2">
                    <w:rPr>
                      <w:rFonts w:ascii="Verdana" w:eastAsia="Times New Roman" w:hAnsi="Verdana"/>
                      <w:sz w:val="21"/>
                      <w:szCs w:val="21"/>
                      <w:highlight w:val="yellow"/>
                    </w:rPr>
                    <w:t>Tobash</w:t>
                  </w:r>
                  <w:proofErr w:type="spellEnd"/>
                  <w:r w:rsidRPr="00CA6EC2">
                    <w:rPr>
                      <w:rFonts w:ascii="Verdana" w:eastAsia="Times New Roman" w:hAnsi="Verdana"/>
                      <w:sz w:val="21"/>
                      <w:szCs w:val="21"/>
                      <w:highlight w:val="yellow"/>
                    </w:rPr>
                    <w:t xml:space="preserve">, R-Schuylkill), which would create a tax credit program for businesses that contribute to career and technical education programs and enrollment expansion programs. The bill </w:t>
                  </w:r>
                  <w:proofErr w:type="gramStart"/>
                  <w:r w:rsidRPr="00CA6EC2">
                    <w:rPr>
                      <w:rFonts w:ascii="Verdana" w:eastAsia="Times New Roman" w:hAnsi="Verdana"/>
                      <w:sz w:val="21"/>
                      <w:szCs w:val="21"/>
                      <w:highlight w:val="yellow"/>
                    </w:rPr>
                    <w:t>was amended</w:t>
                  </w:r>
                  <w:proofErr w:type="gramEnd"/>
                  <w:r w:rsidRPr="00CA6EC2">
                    <w:rPr>
                      <w:rFonts w:ascii="Verdana" w:eastAsia="Times New Roman" w:hAnsi="Verdana"/>
                      <w:sz w:val="21"/>
                      <w:szCs w:val="21"/>
                      <w:highlight w:val="yellow"/>
                    </w:rPr>
                    <w:t xml:space="preserve"> on the House floor to increase the tax credit amount from $10 million to $15 million.</w:t>
                  </w:r>
                  <w:r w:rsidRPr="00CA6EC2">
                    <w:rPr>
                      <w:rFonts w:eastAsia="Times New Roman"/>
                      <w:sz w:val="20"/>
                      <w:szCs w:val="20"/>
                    </w:rPr>
                    <w:br/>
                  </w:r>
                  <w:r>
                    <w:rPr>
                      <w:rFonts w:eastAsia="Times New Roman"/>
                      <w:sz w:val="20"/>
                      <w:szCs w:val="20"/>
                    </w:rPr>
                    <w:br/>
                  </w:r>
                  <w:r>
                    <w:rPr>
                      <w:rFonts w:eastAsia="Times New Roman"/>
                      <w:sz w:val="20"/>
                      <w:szCs w:val="20"/>
                    </w:rPr>
                    <w:br/>
                    <w:t xml:space="preserve">  </w:t>
                  </w:r>
                </w:p>
                <w:p w:rsidR="00CA6EC2" w:rsidRDefault="00CA6EC2" w:rsidP="00CA6EC2">
                  <w:pPr>
                    <w:jc w:val="center"/>
                    <w:rPr>
                      <w:rFonts w:eastAsia="Times New Roman"/>
                      <w:sz w:val="20"/>
                      <w:szCs w:val="20"/>
                    </w:rPr>
                  </w:pPr>
                  <w:r>
                    <w:rPr>
                      <w:rFonts w:eastAsia="Times New Roman"/>
                      <w:sz w:val="20"/>
                      <w:szCs w:val="20"/>
                    </w:rPr>
                    <w:pict>
                      <v:rect id="_x0000_i1110" style="width:468pt;height:1.5pt" o:hralign="center" o:hrstd="t" o:hr="t" fillcolor="#a0a0a0" stroked="f"/>
                    </w:pict>
                  </w:r>
                </w:p>
              </w:tc>
            </w:tr>
            <w:tr w:rsidR="00CA6EC2" w:rsidTr="00D461DD">
              <w:trPr>
                <w:trHeight w:val="75"/>
                <w:tblCellSpacing w:w="0" w:type="dxa"/>
              </w:trPr>
              <w:tc>
                <w:tcPr>
                  <w:tcW w:w="0" w:type="auto"/>
                  <w:vAlign w:val="center"/>
                  <w:hideMark/>
                </w:tcPr>
                <w:p w:rsidR="00CA6EC2" w:rsidRDefault="00CA6EC2" w:rsidP="00CA6EC2">
                  <w:pPr>
                    <w:jc w:val="center"/>
                    <w:rPr>
                      <w:rFonts w:eastAsia="Times New Roman"/>
                      <w:sz w:val="20"/>
                      <w:szCs w:val="20"/>
                    </w:rPr>
                  </w:pPr>
                </w:p>
              </w:tc>
            </w:tr>
          </w:tbl>
          <w:p w:rsidR="00CA6EC2" w:rsidRDefault="00CA6EC2" w:rsidP="00CA6EC2">
            <w:pPr>
              <w:rPr>
                <w:rFonts w:ascii="Verdana" w:eastAsia="Times New Roman" w:hAnsi="Verdana"/>
                <w:vanish/>
                <w:color w:val="000000"/>
                <w:sz w:val="20"/>
                <w:szCs w:val="20"/>
              </w:rPr>
            </w:pPr>
          </w:p>
          <w:tbl>
            <w:tblPr>
              <w:tblW w:w="5000" w:type="pct"/>
              <w:tblCellSpacing w:w="0" w:type="dxa"/>
              <w:tblCellMar>
                <w:left w:w="0" w:type="dxa"/>
                <w:right w:w="0" w:type="dxa"/>
              </w:tblCellMar>
              <w:tblLook w:val="04A0" w:firstRow="1" w:lastRow="0" w:firstColumn="1" w:lastColumn="0" w:noHBand="0" w:noVBand="1"/>
            </w:tblPr>
            <w:tblGrid>
              <w:gridCol w:w="8701"/>
            </w:tblGrid>
            <w:tr w:rsidR="00CA6EC2" w:rsidTr="00D461DD">
              <w:trPr>
                <w:trHeight w:val="387"/>
                <w:tblCellSpacing w:w="0" w:type="dxa"/>
              </w:trPr>
              <w:tc>
                <w:tcPr>
                  <w:tcW w:w="0" w:type="auto"/>
                  <w:vAlign w:val="center"/>
                </w:tcPr>
                <w:p w:rsidR="00CA6EC2" w:rsidRDefault="00CA6EC2" w:rsidP="00CA6EC2">
                  <w:pPr>
                    <w:jc w:val="center"/>
                    <w:rPr>
                      <w:rFonts w:eastAsia="Times New Roman"/>
                      <w:sz w:val="20"/>
                      <w:szCs w:val="20"/>
                    </w:rPr>
                  </w:pPr>
                </w:p>
              </w:tc>
            </w:tr>
            <w:tr w:rsidR="00CA6EC2" w:rsidTr="00D461DD">
              <w:trPr>
                <w:trHeight w:val="75"/>
                <w:tblCellSpacing w:w="0" w:type="dxa"/>
              </w:trPr>
              <w:tc>
                <w:tcPr>
                  <w:tcW w:w="0" w:type="auto"/>
                  <w:vAlign w:val="center"/>
                  <w:hideMark/>
                </w:tcPr>
                <w:p w:rsidR="00CA6EC2" w:rsidRDefault="00CA6EC2" w:rsidP="00CA6EC2">
                  <w:pPr>
                    <w:jc w:val="center"/>
                    <w:rPr>
                      <w:rFonts w:eastAsia="Times New Roman"/>
                      <w:sz w:val="20"/>
                      <w:szCs w:val="20"/>
                    </w:rPr>
                  </w:pPr>
                </w:p>
              </w:tc>
            </w:tr>
          </w:tbl>
          <w:p w:rsidR="00CA6EC2" w:rsidRDefault="00CA6EC2" w:rsidP="00CA6EC2">
            <w:pPr>
              <w:rPr>
                <w:rFonts w:ascii="Verdana" w:eastAsia="Times New Roman" w:hAnsi="Verdana"/>
                <w:vanish/>
                <w:color w:val="000000"/>
                <w:sz w:val="20"/>
                <w:szCs w:val="20"/>
              </w:rPr>
            </w:pPr>
            <w:r>
              <w:rPr>
                <w:rFonts w:ascii="Verdana" w:eastAsia="Times New Roman" w:hAnsi="Verdana"/>
                <w:color w:val="000000"/>
                <w:sz w:val="20"/>
                <w:szCs w:val="20"/>
              </w:rPr>
              <w:br/>
            </w:r>
            <w:r>
              <w:rPr>
                <w:rFonts w:ascii="Verdana" w:eastAsia="Times New Roman" w:hAnsi="Verdana"/>
                <w:color w:val="000000"/>
                <w:sz w:val="20"/>
                <w:szCs w:val="20"/>
              </w:rPr>
              <w:br/>
            </w:r>
          </w:p>
          <w:p w:rsidR="00CA6EC2" w:rsidRDefault="00CA6EC2" w:rsidP="00CA6EC2">
            <w:pPr>
              <w:rPr>
                <w:rFonts w:eastAsia="Times New Roman"/>
                <w:sz w:val="20"/>
                <w:szCs w:val="20"/>
              </w:rPr>
            </w:pPr>
          </w:p>
        </w:tc>
        <w:tc>
          <w:tcPr>
            <w:tcW w:w="0" w:type="auto"/>
          </w:tcPr>
          <w:tbl>
            <w:tblPr>
              <w:tblW w:w="5000" w:type="pct"/>
              <w:tblCellSpacing w:w="15" w:type="dxa"/>
              <w:tblLook w:val="04A0" w:firstRow="1" w:lastRow="0" w:firstColumn="1" w:lastColumn="0" w:noHBand="0" w:noVBand="1"/>
            </w:tblPr>
            <w:tblGrid>
              <w:gridCol w:w="7286"/>
              <w:gridCol w:w="1415"/>
            </w:tblGrid>
            <w:tr w:rsidR="00CA6EC2" w:rsidTr="00D461DD">
              <w:trPr>
                <w:tblCellSpacing w:w="15" w:type="dxa"/>
              </w:trPr>
              <w:tc>
                <w:tcPr>
                  <w:tcW w:w="0" w:type="auto"/>
                  <w:vMerge/>
                  <w:vAlign w:val="center"/>
                  <w:hideMark/>
                </w:tcPr>
                <w:p w:rsidR="00CA6EC2" w:rsidRDefault="00CA6EC2" w:rsidP="00CA6EC2">
                  <w:pPr>
                    <w:pStyle w:val="NormalWeb"/>
                    <w:jc w:val="right"/>
                    <w:rPr>
                      <w:sz w:val="20"/>
                      <w:szCs w:val="20"/>
                    </w:rPr>
                  </w:pPr>
                  <w:hyperlink w:anchor="index" w:history="1">
                    <w:r>
                      <w:rPr>
                        <w:rStyle w:val="Hyperlink"/>
                        <w:sz w:val="20"/>
                        <w:szCs w:val="20"/>
                      </w:rPr>
                      <w:t>Top</w:t>
                    </w:r>
                  </w:hyperlink>
                </w:p>
              </w:tc>
              <w:tc>
                <w:tcPr>
                  <w:tcW w:w="0" w:type="auto"/>
                  <w:tcMar>
                    <w:top w:w="48" w:type="dxa"/>
                    <w:left w:w="48" w:type="dxa"/>
                    <w:bottom w:w="48" w:type="dxa"/>
                    <w:right w:w="48" w:type="dxa"/>
                  </w:tcMar>
                  <w:vAlign w:val="center"/>
                  <w:hideMark/>
                </w:tcPr>
                <w:p w:rsidR="00CA6EC2" w:rsidRDefault="00CA6EC2" w:rsidP="00CA6EC2">
                  <w:pPr>
                    <w:rPr>
                      <w:rFonts w:eastAsia="Times New Roman"/>
                      <w:sz w:val="20"/>
                      <w:szCs w:val="20"/>
                    </w:rPr>
                  </w:pPr>
                </w:p>
              </w:tc>
            </w:tr>
          </w:tbl>
          <w:p w:rsidR="00CA6EC2" w:rsidRDefault="00CA6EC2" w:rsidP="00CA6EC2">
            <w:pPr>
              <w:rPr>
                <w:rFonts w:eastAsia="Times New Roman"/>
                <w:sz w:val="20"/>
                <w:szCs w:val="20"/>
              </w:rPr>
            </w:pPr>
          </w:p>
        </w:tc>
      </w:tr>
    </w:tbl>
    <w:p w:rsidR="00CA6EC2" w:rsidRDefault="00CA6EC2"/>
    <w:sectPr w:rsidR="00CA6EC2" w:rsidSect="00CA6EC2">
      <w:pgSz w:w="12240" w:h="15840"/>
      <w:pgMar w:top="360" w:right="1440" w:bottom="45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74543C"/>
    <w:multiLevelType w:val="multilevel"/>
    <w:tmpl w:val="82DCA1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11F01"/>
    <w:multiLevelType w:val="multilevel"/>
    <w:tmpl w:val="5CD84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A1394F"/>
    <w:multiLevelType w:val="multilevel"/>
    <w:tmpl w:val="B2364F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685917"/>
    <w:multiLevelType w:val="multilevel"/>
    <w:tmpl w:val="0346F7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9B4278"/>
    <w:multiLevelType w:val="multilevel"/>
    <w:tmpl w:val="912E1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4"/>
    <w:lvlOverride w:ilvl="0"/>
    <w:lvlOverride w:ilvl="1"/>
    <w:lvlOverride w:ilvl="2"/>
    <w:lvlOverride w:ilvl="3"/>
    <w:lvlOverride w:ilvl="4"/>
    <w:lvlOverride w:ilvl="5"/>
    <w:lvlOverride w:ilvl="6"/>
    <w:lvlOverride w:ilvl="7"/>
    <w:lvlOverride w:ilvl="8"/>
  </w:num>
  <w:num w:numId="3">
    <w:abstractNumId w:val="1"/>
    <w:lvlOverride w:ilvl="0"/>
    <w:lvlOverride w:ilvl="1"/>
    <w:lvlOverride w:ilvl="2"/>
    <w:lvlOverride w:ilvl="3"/>
    <w:lvlOverride w:ilvl="4"/>
    <w:lvlOverride w:ilvl="5"/>
    <w:lvlOverride w:ilvl="6"/>
    <w:lvlOverride w:ilvl="7"/>
    <w:lvlOverride w:ilvl="8"/>
  </w:num>
  <w:num w:numId="4">
    <w:abstractNumId w:val="3"/>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EC2"/>
    <w:rsid w:val="00153C54"/>
    <w:rsid w:val="00CA6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617E74E"/>
  <w15:chartTrackingRefBased/>
  <w15:docId w15:val="{8E33528F-4372-45A9-89A8-D3FD56780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6EC2"/>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A6EC2"/>
    <w:rPr>
      <w:color w:val="0000FF"/>
      <w:u w:val="single"/>
    </w:rPr>
  </w:style>
  <w:style w:type="paragraph" w:styleId="NormalWeb">
    <w:name w:val="Normal (Web)"/>
    <w:basedOn w:val="Normal"/>
    <w:uiPriority w:val="99"/>
    <w:semiHidden/>
    <w:unhideWhenUsed/>
    <w:rsid w:val="00CA6EC2"/>
    <w:pPr>
      <w:spacing w:before="100" w:beforeAutospacing="1" w:after="100" w:afterAutospacing="1"/>
    </w:pPr>
  </w:style>
  <w:style w:type="character" w:styleId="Emphasis">
    <w:name w:val="Emphasis"/>
    <w:basedOn w:val="DefaultParagraphFont"/>
    <w:uiPriority w:val="20"/>
    <w:qFormat/>
    <w:rsid w:val="00CA6EC2"/>
    <w:rPr>
      <w:i/>
      <w:iCs/>
    </w:rPr>
  </w:style>
  <w:style w:type="character" w:styleId="Strong">
    <w:name w:val="Strong"/>
    <w:basedOn w:val="DefaultParagraphFont"/>
    <w:uiPriority w:val="22"/>
    <w:qFormat/>
    <w:rsid w:val="00CA6EC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42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otervoice.net/BroadcastLinks/kX1gCNdRerT4W4Wbf-p_3A" TargetMode="External"/><Relationship Id="rId3" Type="http://schemas.openxmlformats.org/officeDocument/2006/relationships/settings" Target="settings.xml"/><Relationship Id="rId7" Type="http://schemas.openxmlformats.org/officeDocument/2006/relationships/hyperlink" Target="https://www.votervoice.net/BroadcastLinks/iwCDg2PB4jCUnyrKA_E6o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d3dkdvqff0zqx.cloudfront.net/groups/psba/images/captiol%20blue%20sky.jp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217</Words>
  <Characters>1212</Characters>
  <Application>Microsoft Office Word</Application>
  <DocSecurity>0</DocSecurity>
  <Lines>37</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Birchard</dc:creator>
  <cp:keywords/>
  <dc:description/>
  <cp:lastModifiedBy>Terri Birchard</cp:lastModifiedBy>
  <cp:revision>1</cp:revision>
  <dcterms:created xsi:type="dcterms:W3CDTF">2019-03-22T15:33:00Z</dcterms:created>
  <dcterms:modified xsi:type="dcterms:W3CDTF">2019-03-22T15:42:00Z</dcterms:modified>
</cp:coreProperties>
</file>